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rPr/>
      </w:pPr>
      <w:r w:rsidDel="00000000" w:rsidR="00000000" w:rsidRPr="00000000">
        <w:rPr>
          <w:rtl w:val="0"/>
        </w:rPr>
        <w:t xml:space="preserve">CR CA ABF IDF 22 mars 21</w:t>
      </w:r>
    </w:p>
    <w:p w:rsidR="00000000" w:rsidDel="00000000" w:rsidP="00000000" w:rsidRDefault="00000000" w:rsidRPr="00000000" w14:paraId="00000002">
      <w:pPr>
        <w:pageBreakBefore w:val="0"/>
        <w:rPr/>
      </w:pPr>
      <w:r w:rsidDel="00000000" w:rsidR="00000000" w:rsidRPr="00000000">
        <w:rPr>
          <w:rtl w:val="0"/>
        </w:rPr>
      </w:r>
    </w:p>
    <w:p w:rsidR="00000000" w:rsidDel="00000000" w:rsidP="00000000" w:rsidRDefault="00000000" w:rsidRPr="00000000" w14:paraId="00000003">
      <w:pPr>
        <w:pageBreakBefore w:val="0"/>
        <w:rPr/>
      </w:pPr>
      <w:r w:rsidDel="00000000" w:rsidR="00000000" w:rsidRPr="00000000">
        <w:rPr>
          <w:rtl w:val="0"/>
        </w:rPr>
        <w:t xml:space="preserve">18h</w:t>
      </w:r>
    </w:p>
    <w:p w:rsidR="00000000" w:rsidDel="00000000" w:rsidP="00000000" w:rsidRDefault="00000000" w:rsidRPr="00000000" w14:paraId="00000004">
      <w:pPr>
        <w:pageBreakBefore w:val="0"/>
        <w:rPr/>
      </w:pPr>
      <w:r w:rsidDel="00000000" w:rsidR="00000000" w:rsidRPr="00000000">
        <w:rPr>
          <w:rtl w:val="0"/>
        </w:rPr>
        <w:t xml:space="preserve">Zoom</w:t>
      </w:r>
    </w:p>
    <w:p w:rsidR="00000000" w:rsidDel="00000000" w:rsidP="00000000" w:rsidRDefault="00000000" w:rsidRPr="00000000" w14:paraId="00000005">
      <w:pPr>
        <w:pageBreakBefore w:val="0"/>
        <w:rPr/>
      </w:pPr>
      <w:r w:rsidDel="00000000" w:rsidR="00000000" w:rsidRPr="00000000">
        <w:rPr>
          <w:rtl w:val="0"/>
        </w:rPr>
      </w:r>
    </w:p>
    <w:p w:rsidR="00000000" w:rsidDel="00000000" w:rsidP="00000000" w:rsidRDefault="00000000" w:rsidRPr="00000000" w14:paraId="00000006">
      <w:pPr>
        <w:pageBreakBefore w:val="0"/>
        <w:rPr>
          <w:i w:val="1"/>
        </w:rPr>
      </w:pPr>
      <w:r w:rsidDel="00000000" w:rsidR="00000000" w:rsidRPr="00000000">
        <w:rPr>
          <w:i w:val="1"/>
          <w:rtl w:val="0"/>
        </w:rPr>
        <w:t xml:space="preserve">Présent·e·s :</w:t>
      </w:r>
    </w:p>
    <w:p w:rsidR="00000000" w:rsidDel="00000000" w:rsidP="00000000" w:rsidRDefault="00000000" w:rsidRPr="00000000" w14:paraId="00000007">
      <w:pPr>
        <w:pageBreakBefore w:val="0"/>
        <w:rPr>
          <w:i w:val="1"/>
        </w:rPr>
      </w:pPr>
      <w:r w:rsidDel="00000000" w:rsidR="00000000" w:rsidRPr="00000000">
        <w:rPr>
          <w:i w:val="1"/>
          <w:rtl w:val="0"/>
        </w:rPr>
        <w:t xml:space="preserve">Fabrice, Floriane, Eleonora, Monique, Isabelle, Hélène, Valérie, Hélène, Aude, Julien, Nadeige, Clarisse</w:t>
      </w:r>
    </w:p>
    <w:p w:rsidR="00000000" w:rsidDel="00000000" w:rsidP="00000000" w:rsidRDefault="00000000" w:rsidRPr="00000000" w14:paraId="00000008">
      <w:pPr>
        <w:pageBreakBefore w:val="0"/>
        <w:rPr/>
      </w:pPr>
      <w:r w:rsidDel="00000000" w:rsidR="00000000" w:rsidRPr="00000000">
        <w:rPr>
          <w:rtl w:val="0"/>
        </w:rPr>
      </w:r>
    </w:p>
    <w:p w:rsidR="00000000" w:rsidDel="00000000" w:rsidP="00000000" w:rsidRDefault="00000000" w:rsidRPr="00000000" w14:paraId="00000009">
      <w:pPr>
        <w:pageBreakBefore w:val="0"/>
        <w:rPr>
          <w:i w:val="1"/>
        </w:rPr>
      </w:pPr>
      <w:r w:rsidDel="00000000" w:rsidR="00000000" w:rsidRPr="00000000">
        <w:rPr>
          <w:i w:val="1"/>
          <w:rtl w:val="0"/>
        </w:rPr>
        <w:t xml:space="preserve">Excusé·e·s :</w:t>
      </w:r>
    </w:p>
    <w:p w:rsidR="00000000" w:rsidDel="00000000" w:rsidP="00000000" w:rsidRDefault="00000000" w:rsidRPr="00000000" w14:paraId="0000000A">
      <w:pPr>
        <w:pageBreakBefore w:val="0"/>
        <w:rPr>
          <w:i w:val="1"/>
        </w:rPr>
      </w:pPr>
      <w:r w:rsidDel="00000000" w:rsidR="00000000" w:rsidRPr="00000000">
        <w:rPr>
          <w:i w:val="1"/>
          <w:rtl w:val="0"/>
        </w:rPr>
        <w:t xml:space="preserve">Frédéric, Anne-Marie</w:t>
      </w:r>
    </w:p>
    <w:p w:rsidR="00000000" w:rsidDel="00000000" w:rsidP="00000000" w:rsidRDefault="00000000" w:rsidRPr="00000000" w14:paraId="0000000B">
      <w:pPr>
        <w:pageBreakBefore w:val="0"/>
        <w:rPr/>
      </w:pPr>
      <w:r w:rsidDel="00000000" w:rsidR="00000000" w:rsidRPr="00000000">
        <w:rPr>
          <w:rtl w:val="0"/>
        </w:rPr>
      </w:r>
    </w:p>
    <w:p w:rsidR="00000000" w:rsidDel="00000000" w:rsidP="00000000" w:rsidRDefault="00000000" w:rsidRPr="00000000" w14:paraId="0000000C">
      <w:pPr>
        <w:pageBreakBefore w:val="0"/>
        <w:rPr>
          <w:b w:val="1"/>
        </w:rPr>
      </w:pPr>
      <w:r w:rsidDel="00000000" w:rsidR="00000000" w:rsidRPr="00000000">
        <w:rPr>
          <w:b w:val="1"/>
          <w:rtl w:val="0"/>
        </w:rPr>
        <w:t xml:space="preserve">ODJ :</w:t>
      </w:r>
    </w:p>
    <w:p w:rsidR="00000000" w:rsidDel="00000000" w:rsidP="00000000" w:rsidRDefault="00000000" w:rsidRPr="00000000" w14:paraId="0000000D">
      <w:pPr>
        <w:pageBreakBefore w:val="0"/>
        <w:rPr/>
      </w:pPr>
      <w:r w:rsidDel="00000000" w:rsidR="00000000" w:rsidRPr="00000000">
        <w:rPr>
          <w:rtl w:val="0"/>
        </w:rPr>
      </w:r>
    </w:p>
    <w:p w:rsidR="00000000" w:rsidDel="00000000" w:rsidP="00000000" w:rsidRDefault="00000000" w:rsidRPr="00000000" w14:paraId="0000000E">
      <w:pPr>
        <w:pageBreakBefore w:val="0"/>
        <w:numPr>
          <w:ilvl w:val="0"/>
          <w:numId w:val="4"/>
        </w:numPr>
        <w:ind w:left="720" w:hanging="360"/>
      </w:pPr>
      <w:r w:rsidDel="00000000" w:rsidR="00000000" w:rsidRPr="00000000">
        <w:rPr>
          <w:b w:val="1"/>
          <w:rtl w:val="0"/>
        </w:rPr>
        <w:t xml:space="preserve">L'avancée des JE, notre demande d'aide technique, question de l’annulation formelle en présentiel </w:t>
      </w:r>
      <w:r w:rsidDel="00000000" w:rsidR="00000000" w:rsidRPr="00000000">
        <w:rPr>
          <w:rtl w:val="0"/>
        </w:rPr>
        <w:t xml:space="preserve">(</w:t>
      </w:r>
      <w:r w:rsidDel="00000000" w:rsidR="00000000" w:rsidRPr="00000000">
        <w:rPr>
          <w:i w:val="1"/>
          <w:rtl w:val="0"/>
        </w:rPr>
        <w:t xml:space="preserve">Eleonora, Commission Livr’Exil</w:t>
      </w:r>
      <w:r w:rsidDel="00000000" w:rsidR="00000000" w:rsidRPr="00000000">
        <w:rPr>
          <w:rtl w:val="0"/>
        </w:rPr>
        <w:t xml:space="preserve">)</w:t>
      </w:r>
    </w:p>
    <w:p w:rsidR="00000000" w:rsidDel="00000000" w:rsidP="00000000" w:rsidRDefault="00000000" w:rsidRPr="00000000" w14:paraId="0000000F">
      <w:pPr>
        <w:pageBreakBefore w:val="0"/>
        <w:ind w:left="720" w:firstLine="0"/>
        <w:jc w:val="both"/>
        <w:rPr/>
      </w:pPr>
      <w:r w:rsidDel="00000000" w:rsidR="00000000" w:rsidRPr="00000000">
        <w:rPr>
          <w:rtl w:val="0"/>
        </w:rPr>
        <w:t xml:space="preserve">L’idée est de travailler sur un sujet transversal (ABF IDF et Commission Livr’Exil), à savoir “comment étendre notre accueil à certains publics”. Le titre “extension du domaine de l’accueil” amène l’idée d’explorer les champs de l’accueil non encore abordés.</w:t>
      </w:r>
    </w:p>
    <w:p w:rsidR="00000000" w:rsidDel="00000000" w:rsidP="00000000" w:rsidRDefault="00000000" w:rsidRPr="00000000" w14:paraId="00000010">
      <w:pPr>
        <w:pageBreakBefore w:val="0"/>
        <w:ind w:left="720" w:firstLine="0"/>
        <w:jc w:val="both"/>
        <w:rPr/>
      </w:pPr>
      <w:r w:rsidDel="00000000" w:rsidR="00000000" w:rsidRPr="00000000">
        <w:rPr>
          <w:rtl w:val="0"/>
        </w:rPr>
        <w:t xml:space="preserve">Initialement, la journée aurait dû se tenir à la date du 12 avril, à la médiathèque Sagan mais finalement, tout se fera en distanciel, avec une diffusion de contenus au fur et à mesure, accès gratuit.</w:t>
      </w:r>
    </w:p>
    <w:p w:rsidR="00000000" w:rsidDel="00000000" w:rsidP="00000000" w:rsidRDefault="00000000" w:rsidRPr="00000000" w14:paraId="00000011">
      <w:pPr>
        <w:pageBreakBefore w:val="0"/>
        <w:ind w:left="720" w:firstLine="0"/>
        <w:jc w:val="both"/>
        <w:rPr/>
      </w:pPr>
      <w:r w:rsidDel="00000000" w:rsidR="00000000" w:rsidRPr="00000000">
        <w:rPr>
          <w:rtl w:val="0"/>
        </w:rPr>
        <w:t xml:space="preserve">Recherche en cours d’autres dispositifs techniques pour enregistrer les interventions des participants et diffusion au compte-goutte. Plusieurs possibilités de diffusion, Alice, Anne-Marie et Eleonora ne se sont pas encore focalisées sur un moyen.</w:t>
      </w:r>
    </w:p>
    <w:p w:rsidR="00000000" w:rsidDel="00000000" w:rsidP="00000000" w:rsidRDefault="00000000" w:rsidRPr="00000000" w14:paraId="00000012">
      <w:pPr>
        <w:pageBreakBefore w:val="0"/>
        <w:ind w:left="720" w:firstLine="0"/>
        <w:rPr/>
      </w:pPr>
      <w:r w:rsidDel="00000000" w:rsidR="00000000" w:rsidRPr="00000000">
        <w:rPr>
          <w:rtl w:val="0"/>
        </w:rPr>
        <w:t xml:space="preserve">Appel aux volontaires et aux idées !</w:t>
      </w:r>
    </w:p>
    <w:p w:rsidR="00000000" w:rsidDel="00000000" w:rsidP="00000000" w:rsidRDefault="00000000" w:rsidRPr="00000000" w14:paraId="00000013">
      <w:pPr>
        <w:pageBreakBefore w:val="0"/>
        <w:ind w:left="720" w:firstLine="0"/>
        <w:rPr/>
      </w:pPr>
      <w:r w:rsidDel="00000000" w:rsidR="00000000" w:rsidRPr="00000000">
        <w:rPr>
          <w:rtl w:val="0"/>
        </w:rPr>
        <w:t xml:space="preserve">Idée d’une diffusion par épisode</w:t>
      </w:r>
    </w:p>
    <w:p w:rsidR="00000000" w:rsidDel="00000000" w:rsidP="00000000" w:rsidRDefault="00000000" w:rsidRPr="00000000" w14:paraId="00000014">
      <w:pPr>
        <w:pageBreakBefore w:val="0"/>
        <w:ind w:left="720" w:firstLine="0"/>
        <w:rPr/>
      </w:pPr>
      <w:r w:rsidDel="00000000" w:rsidR="00000000" w:rsidRPr="00000000">
        <w:rPr>
          <w:rtl w:val="0"/>
        </w:rPr>
        <w:t xml:space="preserve">S’inspirer des webinaires</w:t>
      </w:r>
    </w:p>
    <w:p w:rsidR="00000000" w:rsidDel="00000000" w:rsidP="00000000" w:rsidRDefault="00000000" w:rsidRPr="00000000" w14:paraId="00000015">
      <w:pPr>
        <w:pageBreakBefore w:val="0"/>
        <w:ind w:left="720" w:firstLine="0"/>
        <w:rPr/>
      </w:pPr>
      <w:r w:rsidDel="00000000" w:rsidR="00000000" w:rsidRPr="00000000">
        <w:rPr>
          <w:rtl w:val="0"/>
        </w:rPr>
      </w:r>
    </w:p>
    <w:p w:rsidR="00000000" w:rsidDel="00000000" w:rsidP="00000000" w:rsidRDefault="00000000" w:rsidRPr="00000000" w14:paraId="00000016">
      <w:pPr>
        <w:pageBreakBefore w:val="0"/>
        <w:ind w:left="720" w:firstLine="0"/>
        <w:rPr/>
      </w:pPr>
      <w:r w:rsidDel="00000000" w:rsidR="00000000" w:rsidRPr="00000000">
        <w:rPr>
          <w:rtl w:val="0"/>
        </w:rPr>
        <w:t xml:space="preserve">Communication : </w:t>
      </w:r>
    </w:p>
    <w:p w:rsidR="00000000" w:rsidDel="00000000" w:rsidP="00000000" w:rsidRDefault="00000000" w:rsidRPr="00000000" w14:paraId="00000017">
      <w:pPr>
        <w:pageBreakBefore w:val="0"/>
        <w:ind w:left="720" w:firstLine="0"/>
        <w:rPr/>
      </w:pPr>
      <w:r w:rsidDel="00000000" w:rsidR="00000000" w:rsidRPr="00000000">
        <w:rPr>
          <w:rtl w:val="0"/>
        </w:rPr>
        <w:t xml:space="preserve">Newsletter : rappeler les dates de diffusion des épisodes</w:t>
      </w:r>
    </w:p>
    <w:p w:rsidR="00000000" w:rsidDel="00000000" w:rsidP="00000000" w:rsidRDefault="00000000" w:rsidRPr="00000000" w14:paraId="00000018">
      <w:pPr>
        <w:pageBreakBefore w:val="0"/>
        <w:ind w:left="720" w:firstLine="0"/>
        <w:rPr/>
      </w:pPr>
      <w:r w:rsidDel="00000000" w:rsidR="00000000" w:rsidRPr="00000000">
        <w:rPr>
          <w:rtl w:val="0"/>
        </w:rPr>
        <w:t xml:space="preserve">Réseaux sociaux : la veille + jour diffusion</w:t>
      </w:r>
    </w:p>
    <w:p w:rsidR="00000000" w:rsidDel="00000000" w:rsidP="00000000" w:rsidRDefault="00000000" w:rsidRPr="00000000" w14:paraId="00000019">
      <w:pPr>
        <w:pageBreakBefore w:val="0"/>
        <w:ind w:left="720" w:firstLine="0"/>
        <w:rPr/>
      </w:pPr>
      <w:r w:rsidDel="00000000" w:rsidR="00000000" w:rsidRPr="00000000">
        <w:rPr>
          <w:rtl w:val="0"/>
        </w:rPr>
        <w:t xml:space="preserve">Mailing adhérents </w:t>
      </w:r>
    </w:p>
    <w:p w:rsidR="00000000" w:rsidDel="00000000" w:rsidP="00000000" w:rsidRDefault="00000000" w:rsidRPr="00000000" w14:paraId="0000001A">
      <w:pPr>
        <w:pageBreakBefore w:val="0"/>
        <w:numPr>
          <w:ilvl w:val="0"/>
          <w:numId w:val="3"/>
        </w:numPr>
        <w:ind w:left="1440" w:hanging="360"/>
      </w:pPr>
      <w:r w:rsidDel="00000000" w:rsidR="00000000" w:rsidRPr="00000000">
        <w:rPr>
          <w:rtl w:val="0"/>
        </w:rPr>
        <w:t xml:space="preserve">mailing groupes + CN + responsables de commissions</w:t>
      </w:r>
    </w:p>
    <w:p w:rsidR="00000000" w:rsidDel="00000000" w:rsidP="00000000" w:rsidRDefault="00000000" w:rsidRPr="00000000" w14:paraId="0000001B">
      <w:pPr>
        <w:pageBreakBefore w:val="0"/>
        <w:ind w:firstLine="720"/>
        <w:rPr/>
      </w:pPr>
      <w:r w:rsidDel="00000000" w:rsidR="00000000" w:rsidRPr="00000000">
        <w:rPr>
          <w:rtl w:val="0"/>
        </w:rPr>
        <w:t xml:space="preserve">Demande d’un relais sur le site pro de la BPI et Enssib</w:t>
      </w:r>
    </w:p>
    <w:p w:rsidR="00000000" w:rsidDel="00000000" w:rsidP="00000000" w:rsidRDefault="00000000" w:rsidRPr="00000000" w14:paraId="0000001C">
      <w:pPr>
        <w:pageBreakBefore w:val="0"/>
        <w:ind w:left="720" w:firstLine="0"/>
        <w:rPr/>
      </w:pPr>
      <w:r w:rsidDel="00000000" w:rsidR="00000000" w:rsidRPr="00000000">
        <w:rPr>
          <w:rtl w:val="0"/>
        </w:rPr>
      </w:r>
    </w:p>
    <w:p w:rsidR="00000000" w:rsidDel="00000000" w:rsidP="00000000" w:rsidRDefault="00000000" w:rsidRPr="00000000" w14:paraId="0000001D">
      <w:pPr>
        <w:pageBreakBefore w:val="0"/>
        <w:numPr>
          <w:ilvl w:val="0"/>
          <w:numId w:val="4"/>
        </w:numPr>
        <w:ind w:left="720" w:hanging="360"/>
        <w:rPr>
          <w:b w:val="1"/>
        </w:rPr>
      </w:pPr>
      <w:r w:rsidDel="00000000" w:rsidR="00000000" w:rsidRPr="00000000">
        <w:rPr>
          <w:b w:val="1"/>
          <w:rtl w:val="0"/>
        </w:rPr>
        <w:t xml:space="preserve">Enquête bornes Yoteq (Hélène V.)</w:t>
      </w:r>
    </w:p>
    <w:p w:rsidR="00000000" w:rsidDel="00000000" w:rsidP="00000000" w:rsidRDefault="00000000" w:rsidRPr="00000000" w14:paraId="0000001E">
      <w:pPr>
        <w:pageBreakBefore w:val="0"/>
        <w:ind w:left="720" w:firstLine="0"/>
        <w:jc w:val="both"/>
        <w:rPr/>
      </w:pPr>
      <w:r w:rsidDel="00000000" w:rsidR="00000000" w:rsidRPr="00000000">
        <w:rPr>
          <w:rtl w:val="0"/>
        </w:rPr>
        <w:t xml:space="preserve">Projet MDHR (Alsace) mené par Xavier Galaud : remplacer le bibliobus par une de ces bornes. 300 livres peuvent tenir dedans (mais peut-être plusieurs versions). Il existe plusieurs versions : version commerciale, dans les gares, offre type Relay (polars, prix littéraires, offre jeunesse, quelques revues).  Ergonomique : écran sur ressort, l’écran peut être approché (accessibilité) ; terminal de paiement, le livre sort par une trappe. On peut également rendre ses livres achetés à ces bornes, crédit sur un compte. L’idée est de développer ce service dans les zones blanches non desservies par une bibliothèque.</w:t>
      </w:r>
    </w:p>
    <w:p w:rsidR="00000000" w:rsidDel="00000000" w:rsidP="00000000" w:rsidRDefault="00000000" w:rsidRPr="00000000" w14:paraId="0000001F">
      <w:pPr>
        <w:pageBreakBefore w:val="0"/>
        <w:ind w:left="720" w:firstLine="0"/>
        <w:jc w:val="both"/>
        <w:rPr/>
      </w:pPr>
      <w:r w:rsidDel="00000000" w:rsidR="00000000" w:rsidRPr="00000000">
        <w:rPr>
          <w:rtl w:val="0"/>
        </w:rPr>
        <w:t xml:space="preserve">Fonctionnement prêt/retour. </w:t>
      </w:r>
    </w:p>
    <w:p w:rsidR="00000000" w:rsidDel="00000000" w:rsidP="00000000" w:rsidRDefault="00000000" w:rsidRPr="00000000" w14:paraId="00000020">
      <w:pPr>
        <w:pageBreakBefore w:val="0"/>
        <w:ind w:left="720" w:firstLine="0"/>
        <w:jc w:val="both"/>
        <w:rPr/>
      </w:pPr>
      <w:r w:rsidDel="00000000" w:rsidR="00000000" w:rsidRPr="00000000">
        <w:rPr>
          <w:rtl w:val="0"/>
        </w:rPr>
        <w:t xml:space="preserve">Projet Alsace : proposer une offre des bibliothécaires. Mais la borne ne propose pas de moteur de recherche, possibilité de chercher via une sélection, mais pas de titre précis.</w:t>
      </w:r>
    </w:p>
    <w:p w:rsidR="00000000" w:rsidDel="00000000" w:rsidP="00000000" w:rsidRDefault="00000000" w:rsidRPr="00000000" w14:paraId="00000021">
      <w:pPr>
        <w:pageBreakBefore w:val="0"/>
        <w:ind w:left="720" w:firstLine="0"/>
        <w:jc w:val="both"/>
        <w:rPr/>
      </w:pPr>
      <w:r w:rsidDel="00000000" w:rsidR="00000000" w:rsidRPr="00000000">
        <w:rPr>
          <w:rtl w:val="0"/>
        </w:rPr>
        <w:t xml:space="preserve">Projet à l’étude pour toutes les gares du Grand Paris (mais en dehors des bibliothèques, offre commerciale uniquement)</w:t>
      </w:r>
    </w:p>
    <w:p w:rsidR="00000000" w:rsidDel="00000000" w:rsidP="00000000" w:rsidRDefault="00000000" w:rsidRPr="00000000" w14:paraId="00000022">
      <w:pPr>
        <w:pageBreakBefore w:val="0"/>
        <w:ind w:left="720" w:firstLine="0"/>
        <w:jc w:val="both"/>
        <w:rPr/>
      </w:pPr>
      <w:r w:rsidDel="00000000" w:rsidR="00000000" w:rsidRPr="00000000">
        <w:rPr>
          <w:rtl w:val="0"/>
        </w:rPr>
        <w:t xml:space="preserve">A Plaine Commune, système déjà existant (via Nedap ?), dans des lieux clos</w:t>
      </w:r>
    </w:p>
    <w:p w:rsidR="00000000" w:rsidDel="00000000" w:rsidP="00000000" w:rsidRDefault="00000000" w:rsidRPr="00000000" w14:paraId="00000023">
      <w:pPr>
        <w:pageBreakBefore w:val="0"/>
        <w:ind w:left="720" w:firstLine="0"/>
        <w:jc w:val="both"/>
        <w:rPr/>
      </w:pPr>
      <w:r w:rsidDel="00000000" w:rsidR="00000000" w:rsidRPr="00000000">
        <w:rPr>
          <w:rtl w:val="0"/>
        </w:rPr>
        <w:t xml:space="preserve">Dans les pays nordiques : gares et centres commerciaux</w:t>
      </w:r>
    </w:p>
    <w:p w:rsidR="00000000" w:rsidDel="00000000" w:rsidP="00000000" w:rsidRDefault="00000000" w:rsidRPr="00000000" w14:paraId="00000024">
      <w:pPr>
        <w:pageBreakBefore w:val="0"/>
        <w:ind w:left="720" w:firstLine="0"/>
        <w:jc w:val="both"/>
        <w:rPr/>
      </w:pPr>
      <w:r w:rsidDel="00000000" w:rsidR="00000000" w:rsidRPr="00000000">
        <w:rPr>
          <w:rtl w:val="0"/>
        </w:rPr>
        <w:t xml:space="preserve">Idée pour les retraits de réservations ?</w:t>
      </w:r>
    </w:p>
    <w:p w:rsidR="00000000" w:rsidDel="00000000" w:rsidP="00000000" w:rsidRDefault="00000000" w:rsidRPr="00000000" w14:paraId="00000025">
      <w:pPr>
        <w:pageBreakBefore w:val="0"/>
        <w:ind w:left="720" w:firstLine="0"/>
        <w:rPr/>
      </w:pPr>
      <w:r w:rsidDel="00000000" w:rsidR="00000000" w:rsidRPr="00000000">
        <w:rPr>
          <w:rtl w:val="0"/>
        </w:rPr>
      </w:r>
    </w:p>
    <w:p w:rsidR="00000000" w:rsidDel="00000000" w:rsidP="00000000" w:rsidRDefault="00000000" w:rsidRPr="00000000" w14:paraId="00000026">
      <w:pPr>
        <w:pageBreakBefore w:val="0"/>
        <w:ind w:left="720" w:firstLine="0"/>
        <w:rPr/>
      </w:pPr>
      <w:r w:rsidDel="00000000" w:rsidR="00000000" w:rsidRPr="00000000">
        <w:rPr>
          <w:rtl w:val="0"/>
        </w:rPr>
      </w:r>
    </w:p>
    <w:p w:rsidR="00000000" w:rsidDel="00000000" w:rsidP="00000000" w:rsidRDefault="00000000" w:rsidRPr="00000000" w14:paraId="00000027">
      <w:pPr>
        <w:pageBreakBefore w:val="0"/>
        <w:numPr>
          <w:ilvl w:val="0"/>
          <w:numId w:val="4"/>
        </w:numPr>
        <w:ind w:left="720" w:hanging="360"/>
        <w:rPr>
          <w:b w:val="1"/>
        </w:rPr>
      </w:pPr>
      <w:r w:rsidDel="00000000" w:rsidR="00000000" w:rsidRPr="00000000">
        <w:rPr>
          <w:b w:val="1"/>
          <w:rtl w:val="0"/>
        </w:rPr>
        <w:t xml:space="preserve">La proposition de loi sur les bibliothèques de Sylvie Robert (Hélène B.)</w:t>
      </w:r>
    </w:p>
    <w:p w:rsidR="00000000" w:rsidDel="00000000" w:rsidP="00000000" w:rsidRDefault="00000000" w:rsidRPr="00000000" w14:paraId="00000028">
      <w:pPr>
        <w:pageBreakBefore w:val="0"/>
        <w:ind w:left="720" w:firstLine="0"/>
        <w:rPr/>
      </w:pPr>
      <w:r w:rsidDel="00000000" w:rsidR="00000000" w:rsidRPr="00000000">
        <w:rPr>
          <w:rtl w:val="0"/>
        </w:rPr>
        <w:t xml:space="preserve">Volonté d’acter les missions des bibliothèques. Cette proposition de loi est issue d’un travail en amont avec les professionnels commencé en 2017. L’idée principale est de garantir les bibliothèques comme espace de liberté d’exception.</w:t>
      </w:r>
    </w:p>
    <w:p w:rsidR="00000000" w:rsidDel="00000000" w:rsidP="00000000" w:rsidRDefault="00000000" w:rsidRPr="00000000" w14:paraId="00000029">
      <w:pPr>
        <w:pageBreakBefore w:val="0"/>
        <w:ind w:left="720" w:firstLine="0"/>
        <w:rPr/>
      </w:pPr>
      <w:r w:rsidDel="00000000" w:rsidR="00000000" w:rsidRPr="00000000">
        <w:rPr>
          <w:rtl w:val="0"/>
        </w:rPr>
        <w:t xml:space="preserve">Gros passage sur les collections (pluralisme, etc)</w:t>
      </w:r>
    </w:p>
    <w:p w:rsidR="00000000" w:rsidDel="00000000" w:rsidP="00000000" w:rsidRDefault="00000000" w:rsidRPr="00000000" w14:paraId="0000002A">
      <w:pPr>
        <w:pageBreakBefore w:val="0"/>
        <w:ind w:left="720" w:firstLine="0"/>
        <w:rPr/>
      </w:pPr>
      <w:r w:rsidDel="00000000" w:rsidR="00000000" w:rsidRPr="00000000">
        <w:rPr>
          <w:rtl w:val="0"/>
        </w:rPr>
        <w:t xml:space="preserve">La gratuité évoquée dans la proposition de loi concerne l’entrée et la consultation sur place uniquement.</w:t>
      </w:r>
    </w:p>
    <w:p w:rsidR="00000000" w:rsidDel="00000000" w:rsidP="00000000" w:rsidRDefault="00000000" w:rsidRPr="00000000" w14:paraId="0000002B">
      <w:pPr>
        <w:pageBreakBefore w:val="0"/>
        <w:ind w:left="720" w:firstLine="0"/>
        <w:rPr/>
      </w:pPr>
      <w:r w:rsidDel="00000000" w:rsidR="00000000" w:rsidRPr="00000000">
        <w:rPr>
          <w:rtl w:val="0"/>
        </w:rPr>
        <w:t xml:space="preserve">L’ambition de cette proposition de loi est de servir d’outil pour les élus</w:t>
      </w:r>
    </w:p>
    <w:p w:rsidR="00000000" w:rsidDel="00000000" w:rsidP="00000000" w:rsidRDefault="00000000" w:rsidRPr="00000000" w14:paraId="0000002C">
      <w:pPr>
        <w:pageBreakBefore w:val="0"/>
        <w:ind w:left="720" w:firstLine="0"/>
        <w:rPr/>
      </w:pPr>
      <w:r w:rsidDel="00000000" w:rsidR="00000000" w:rsidRPr="00000000">
        <w:rPr>
          <w:rtl w:val="0"/>
        </w:rPr>
        <w:t xml:space="preserve">Elle sera présenté dans les prochains mois</w:t>
      </w:r>
    </w:p>
    <w:p w:rsidR="00000000" w:rsidDel="00000000" w:rsidP="00000000" w:rsidRDefault="00000000" w:rsidRPr="00000000" w14:paraId="0000002D">
      <w:pPr>
        <w:pageBreakBefore w:val="0"/>
        <w:rPr/>
      </w:pPr>
      <w:r w:rsidDel="00000000" w:rsidR="00000000" w:rsidRPr="00000000">
        <w:rPr>
          <w:rtl w:val="0"/>
        </w:rPr>
      </w:r>
    </w:p>
    <w:p w:rsidR="00000000" w:rsidDel="00000000" w:rsidP="00000000" w:rsidRDefault="00000000" w:rsidRPr="00000000" w14:paraId="0000002E">
      <w:pPr>
        <w:pageBreakBefore w:val="0"/>
        <w:numPr>
          <w:ilvl w:val="0"/>
          <w:numId w:val="4"/>
        </w:numPr>
        <w:ind w:left="720" w:hanging="360"/>
        <w:rPr>
          <w:b w:val="1"/>
        </w:rPr>
      </w:pPr>
      <w:r w:rsidDel="00000000" w:rsidR="00000000" w:rsidRPr="00000000">
        <w:rPr>
          <w:b w:val="1"/>
          <w:rtl w:val="0"/>
        </w:rPr>
        <w:t xml:space="preserve">Le comité stratégique, la situation de l'association (Monique)</w:t>
      </w:r>
    </w:p>
    <w:p w:rsidR="00000000" w:rsidDel="00000000" w:rsidP="00000000" w:rsidRDefault="00000000" w:rsidRPr="00000000" w14:paraId="0000002F">
      <w:pPr>
        <w:pageBreakBefore w:val="0"/>
        <w:ind w:left="720" w:firstLine="0"/>
        <w:rPr/>
      </w:pPr>
      <w:r w:rsidDel="00000000" w:rsidR="00000000" w:rsidRPr="00000000">
        <w:rPr>
          <w:rtl w:val="0"/>
        </w:rPr>
        <w:t xml:space="preserve">Comité composé de responsables de commissions et de groupes régionaux + permanents</w:t>
      </w:r>
    </w:p>
    <w:p w:rsidR="00000000" w:rsidDel="00000000" w:rsidP="00000000" w:rsidRDefault="00000000" w:rsidRPr="00000000" w14:paraId="00000030">
      <w:pPr>
        <w:pageBreakBefore w:val="0"/>
        <w:ind w:left="720" w:firstLine="0"/>
        <w:rPr/>
      </w:pPr>
      <w:r w:rsidDel="00000000" w:rsidR="00000000" w:rsidRPr="00000000">
        <w:rPr>
          <w:rtl w:val="0"/>
        </w:rPr>
        <w:t xml:space="preserve">Travail d’introspection, redonner du sens. Réorganisation au niveau des permanents</w:t>
      </w:r>
    </w:p>
    <w:p w:rsidR="00000000" w:rsidDel="00000000" w:rsidP="00000000" w:rsidRDefault="00000000" w:rsidRPr="00000000" w14:paraId="00000031">
      <w:pPr>
        <w:pageBreakBefore w:val="0"/>
        <w:ind w:left="720" w:firstLine="0"/>
        <w:rPr/>
      </w:pPr>
      <w:r w:rsidDel="00000000" w:rsidR="00000000" w:rsidRPr="00000000">
        <w:rPr>
          <w:rtl w:val="0"/>
        </w:rPr>
        <w:t xml:space="preserve">3 axes de réflexion Que veut-on faire à l’ABF : </w:t>
      </w:r>
    </w:p>
    <w:p w:rsidR="00000000" w:rsidDel="00000000" w:rsidP="00000000" w:rsidRDefault="00000000" w:rsidRPr="00000000" w14:paraId="00000032">
      <w:pPr>
        <w:pageBreakBefore w:val="0"/>
        <w:numPr>
          <w:ilvl w:val="0"/>
          <w:numId w:val="1"/>
        </w:numPr>
        <w:ind w:left="1440" w:hanging="360"/>
      </w:pPr>
      <w:r w:rsidDel="00000000" w:rsidR="00000000" w:rsidRPr="00000000">
        <w:rPr>
          <w:rtl w:val="0"/>
        </w:rPr>
        <w:t xml:space="preserve">Réfléchir et débattre</w:t>
      </w:r>
    </w:p>
    <w:p w:rsidR="00000000" w:rsidDel="00000000" w:rsidP="00000000" w:rsidRDefault="00000000" w:rsidRPr="00000000" w14:paraId="00000033">
      <w:pPr>
        <w:pageBreakBefore w:val="0"/>
        <w:numPr>
          <w:ilvl w:val="0"/>
          <w:numId w:val="1"/>
        </w:numPr>
        <w:ind w:left="1440" w:hanging="360"/>
      </w:pPr>
      <w:r w:rsidDel="00000000" w:rsidR="00000000" w:rsidRPr="00000000">
        <w:rPr>
          <w:rtl w:val="0"/>
        </w:rPr>
        <w:t xml:space="preserve">Former et accompagner</w:t>
      </w:r>
    </w:p>
    <w:p w:rsidR="00000000" w:rsidDel="00000000" w:rsidP="00000000" w:rsidRDefault="00000000" w:rsidRPr="00000000" w14:paraId="00000034">
      <w:pPr>
        <w:pageBreakBefore w:val="0"/>
        <w:numPr>
          <w:ilvl w:val="0"/>
          <w:numId w:val="1"/>
        </w:numPr>
        <w:ind w:left="1440" w:hanging="360"/>
      </w:pPr>
      <w:r w:rsidDel="00000000" w:rsidR="00000000" w:rsidRPr="00000000">
        <w:rPr>
          <w:rtl w:val="0"/>
        </w:rPr>
        <w:t xml:space="preserve">Représenter et fédérer</w:t>
      </w:r>
    </w:p>
    <w:p w:rsidR="00000000" w:rsidDel="00000000" w:rsidP="00000000" w:rsidRDefault="00000000" w:rsidRPr="00000000" w14:paraId="00000035">
      <w:pPr>
        <w:pageBreakBefore w:val="0"/>
        <w:ind w:left="720" w:firstLine="0"/>
        <w:rPr/>
      </w:pPr>
      <w:r w:rsidDel="00000000" w:rsidR="00000000" w:rsidRPr="00000000">
        <w:rPr>
          <w:rtl w:val="0"/>
        </w:rPr>
        <w:t xml:space="preserve">Le comité stratégique souhaite faire valider la méthodologie au Conseil national lundi prochain. </w:t>
      </w:r>
    </w:p>
    <w:p w:rsidR="00000000" w:rsidDel="00000000" w:rsidP="00000000" w:rsidRDefault="00000000" w:rsidRPr="00000000" w14:paraId="00000036">
      <w:pPr>
        <w:pageBreakBefore w:val="0"/>
        <w:ind w:firstLine="720"/>
        <w:rPr/>
      </w:pPr>
      <w:r w:rsidDel="00000000" w:rsidR="00000000" w:rsidRPr="00000000">
        <w:rPr>
          <w:rtl w:val="0"/>
        </w:rPr>
        <w:t xml:space="preserve">Prochaine étape : rédaction d’une feuille de route, et mise en place de groupes de travail</w:t>
      </w:r>
    </w:p>
    <w:p w:rsidR="00000000" w:rsidDel="00000000" w:rsidP="00000000" w:rsidRDefault="00000000" w:rsidRPr="00000000" w14:paraId="00000037">
      <w:pPr>
        <w:pageBreakBefore w:val="0"/>
        <w:rPr/>
      </w:pPr>
      <w:r w:rsidDel="00000000" w:rsidR="00000000" w:rsidRPr="00000000">
        <w:rPr>
          <w:rtl w:val="0"/>
        </w:rPr>
        <w:t xml:space="preserve">Deux contraintes sont à prendre en compte : </w:t>
      </w:r>
    </w:p>
    <w:p w:rsidR="00000000" w:rsidDel="00000000" w:rsidP="00000000" w:rsidRDefault="00000000" w:rsidRPr="00000000" w14:paraId="00000038">
      <w:pPr>
        <w:pageBreakBefore w:val="0"/>
        <w:numPr>
          <w:ilvl w:val="0"/>
          <w:numId w:val="2"/>
        </w:numPr>
        <w:ind w:left="720" w:hanging="360"/>
      </w:pPr>
      <w:r w:rsidDel="00000000" w:rsidR="00000000" w:rsidRPr="00000000">
        <w:rPr>
          <w:rtl w:val="0"/>
        </w:rPr>
        <w:t xml:space="preserve">Aspect budgétaire</w:t>
      </w:r>
    </w:p>
    <w:p w:rsidR="00000000" w:rsidDel="00000000" w:rsidP="00000000" w:rsidRDefault="00000000" w:rsidRPr="00000000" w14:paraId="00000039">
      <w:pPr>
        <w:pageBreakBefore w:val="0"/>
        <w:numPr>
          <w:ilvl w:val="0"/>
          <w:numId w:val="2"/>
        </w:numPr>
        <w:ind w:left="720" w:hanging="360"/>
      </w:pPr>
      <w:r w:rsidDel="00000000" w:rsidR="00000000" w:rsidRPr="00000000">
        <w:rPr>
          <w:rtl w:val="0"/>
        </w:rPr>
        <w:t xml:space="preserve">Fin du mandat du BN en décembre 2021</w:t>
      </w:r>
    </w:p>
    <w:p w:rsidR="00000000" w:rsidDel="00000000" w:rsidP="00000000" w:rsidRDefault="00000000" w:rsidRPr="00000000" w14:paraId="0000003A">
      <w:pPr>
        <w:pageBreakBefore w:val="0"/>
        <w:rPr/>
      </w:pPr>
      <w:r w:rsidDel="00000000" w:rsidR="00000000" w:rsidRPr="00000000">
        <w:rPr>
          <w:rtl w:val="0"/>
        </w:rPr>
        <w:t xml:space="preserve">Objectifs : que les projets “infusent” et puissent continuer même après la dissolution du comité stratégique</w:t>
      </w:r>
    </w:p>
    <w:p w:rsidR="00000000" w:rsidDel="00000000" w:rsidP="00000000" w:rsidRDefault="00000000" w:rsidRPr="00000000" w14:paraId="0000003B">
      <w:pPr>
        <w:pageBreakBefore w:val="0"/>
        <w:rPr/>
      </w:pPr>
      <w:r w:rsidDel="00000000" w:rsidR="00000000" w:rsidRPr="00000000">
        <w:rPr>
          <w:rtl w:val="0"/>
        </w:rPr>
        <w:t xml:space="preserve">Idée d’une fédération inter-asso ?</w:t>
      </w:r>
    </w:p>
    <w:p w:rsidR="00000000" w:rsidDel="00000000" w:rsidP="00000000" w:rsidRDefault="00000000" w:rsidRPr="00000000" w14:paraId="0000003C">
      <w:pPr>
        <w:pageBreakBefore w:val="0"/>
        <w:rPr/>
      </w:pPr>
      <w:r w:rsidDel="00000000" w:rsidR="00000000" w:rsidRPr="00000000">
        <w:rPr>
          <w:rtl w:val="0"/>
        </w:rPr>
      </w:r>
    </w:p>
    <w:p w:rsidR="00000000" w:rsidDel="00000000" w:rsidP="00000000" w:rsidRDefault="00000000" w:rsidRPr="00000000" w14:paraId="0000003D">
      <w:pPr>
        <w:pageBreakBefore w:val="0"/>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f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